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C77F" w14:textId="674FF5D9" w:rsidR="00C54FCA" w:rsidRPr="00F329FC" w:rsidRDefault="0015757C" w:rsidP="002733F1">
      <w:pPr>
        <w:pStyle w:val="CLLOparanumbers"/>
        <w:numPr>
          <w:ilvl w:val="0"/>
          <w:numId w:val="1"/>
        </w:numPr>
        <w:tabs>
          <w:tab w:val="clear" w:pos="360"/>
          <w:tab w:val="num" w:pos="567"/>
        </w:tabs>
        <w:spacing w:before="240" w:after="0"/>
        <w:ind w:left="567" w:hanging="567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The </w:t>
      </w:r>
      <w:r w:rsidRPr="0015757C">
        <w:rPr>
          <w:rFonts w:cs="Arial"/>
          <w:sz w:val="22"/>
          <w:szCs w:val="22"/>
        </w:rPr>
        <w:t>La</w:t>
      </w:r>
      <w:r w:rsidR="004B762B">
        <w:rPr>
          <w:rFonts w:cs="Arial"/>
          <w:sz w:val="22"/>
          <w:szCs w:val="22"/>
        </w:rPr>
        <w:t>nd, Explosives</w:t>
      </w:r>
      <w:r w:rsidR="00123128">
        <w:rPr>
          <w:rFonts w:cs="Arial"/>
          <w:sz w:val="22"/>
          <w:szCs w:val="22"/>
        </w:rPr>
        <w:t xml:space="preserve"> and O</w:t>
      </w:r>
      <w:r w:rsidRPr="0015757C">
        <w:rPr>
          <w:rFonts w:cs="Arial"/>
          <w:sz w:val="22"/>
          <w:szCs w:val="22"/>
        </w:rPr>
        <w:t>ther Legislation Amendment Bill 2017</w:t>
      </w:r>
      <w:r>
        <w:rPr>
          <w:rFonts w:cs="Arial"/>
          <w:sz w:val="22"/>
          <w:szCs w:val="22"/>
        </w:rPr>
        <w:t xml:space="preserve"> (the Bill)</w:t>
      </w:r>
      <w:r w:rsidR="004B762B">
        <w:rPr>
          <w:rFonts w:cs="Arial"/>
          <w:sz w:val="22"/>
          <w:szCs w:val="22"/>
        </w:rPr>
        <w:t xml:space="preserve"> </w:t>
      </w:r>
      <w:r w:rsidR="00702333" w:rsidRPr="0015757C">
        <w:rPr>
          <w:rFonts w:cs="Arial"/>
          <w:sz w:val="22"/>
          <w:szCs w:val="22"/>
        </w:rPr>
        <w:t xml:space="preserve">amends nine existing Acts </w:t>
      </w:r>
      <w:r w:rsidR="00590178">
        <w:rPr>
          <w:rFonts w:cs="Arial"/>
          <w:sz w:val="22"/>
          <w:szCs w:val="22"/>
        </w:rPr>
        <w:t>to</w:t>
      </w:r>
      <w:r w:rsidRPr="0015757C">
        <w:rPr>
          <w:rFonts w:cs="Arial"/>
          <w:sz w:val="22"/>
          <w:szCs w:val="22"/>
        </w:rPr>
        <w:t xml:space="preserve"> </w:t>
      </w:r>
      <w:r w:rsidR="009B0EA4">
        <w:rPr>
          <w:rFonts w:cs="Arial"/>
          <w:sz w:val="22"/>
          <w:szCs w:val="22"/>
        </w:rPr>
        <w:t>enhance worker and community safety and security in the explosives and gas sectors</w:t>
      </w:r>
      <w:r w:rsidR="0037417E">
        <w:rPr>
          <w:rFonts w:cs="Arial"/>
          <w:sz w:val="22"/>
          <w:szCs w:val="22"/>
        </w:rPr>
        <w:t>;</w:t>
      </w:r>
      <w:r w:rsidR="009B0EA4">
        <w:rPr>
          <w:rFonts w:cs="Arial"/>
          <w:sz w:val="22"/>
          <w:szCs w:val="22"/>
        </w:rPr>
        <w:t xml:space="preserve"> </w:t>
      </w:r>
      <w:r w:rsidR="00F329FC" w:rsidRPr="0015757C">
        <w:rPr>
          <w:rFonts w:cs="Arial"/>
          <w:sz w:val="22"/>
          <w:szCs w:val="22"/>
        </w:rPr>
        <w:t xml:space="preserve">address operational issues associated with the </w:t>
      </w:r>
      <w:r w:rsidR="00922498">
        <w:rPr>
          <w:rFonts w:cs="Arial"/>
          <w:sz w:val="22"/>
          <w:szCs w:val="22"/>
        </w:rPr>
        <w:t xml:space="preserve">overlapping </w:t>
      </w:r>
      <w:r w:rsidR="00F329FC" w:rsidRPr="0015757C">
        <w:rPr>
          <w:rFonts w:cs="Arial"/>
          <w:sz w:val="22"/>
          <w:szCs w:val="22"/>
        </w:rPr>
        <w:t>tenure framework for coal and coal seam ga</w:t>
      </w:r>
      <w:r w:rsidR="00F329FC">
        <w:rPr>
          <w:rFonts w:cs="Arial"/>
          <w:sz w:val="22"/>
          <w:szCs w:val="22"/>
        </w:rPr>
        <w:t>s</w:t>
      </w:r>
      <w:r w:rsidR="0037417E">
        <w:rPr>
          <w:rFonts w:cs="Arial"/>
          <w:sz w:val="22"/>
          <w:szCs w:val="22"/>
        </w:rPr>
        <w:t>;</w:t>
      </w:r>
      <w:r w:rsidR="00F329FC">
        <w:rPr>
          <w:rFonts w:cs="Arial"/>
          <w:sz w:val="22"/>
          <w:szCs w:val="22"/>
        </w:rPr>
        <w:t xml:space="preserve"> </w:t>
      </w:r>
      <w:r w:rsidR="009B0EA4" w:rsidRPr="00F329FC">
        <w:rPr>
          <w:rFonts w:cs="Arial"/>
          <w:sz w:val="22"/>
          <w:szCs w:val="22"/>
        </w:rPr>
        <w:t>enhance titling legislation</w:t>
      </w:r>
      <w:r w:rsidR="0037417E">
        <w:rPr>
          <w:rFonts w:cs="Arial"/>
          <w:sz w:val="22"/>
          <w:szCs w:val="22"/>
        </w:rPr>
        <w:t>;</w:t>
      </w:r>
      <w:r w:rsidR="009B0EA4" w:rsidRPr="00F329FC">
        <w:rPr>
          <w:rFonts w:cs="Arial"/>
          <w:sz w:val="22"/>
          <w:szCs w:val="22"/>
        </w:rPr>
        <w:t xml:space="preserve"> facilitate Indigenous people’</w:t>
      </w:r>
      <w:r w:rsidR="00F329FC">
        <w:rPr>
          <w:rFonts w:cs="Arial"/>
          <w:sz w:val="22"/>
          <w:szCs w:val="22"/>
        </w:rPr>
        <w:t>s access to land; and</w:t>
      </w:r>
      <w:r w:rsidR="009B0EA4" w:rsidRPr="00F329FC">
        <w:rPr>
          <w:rFonts w:cs="Arial"/>
          <w:sz w:val="22"/>
          <w:szCs w:val="22"/>
        </w:rPr>
        <w:t xml:space="preserve"> update compliance provisions under the </w:t>
      </w:r>
      <w:r w:rsidRPr="00F329FC">
        <w:rPr>
          <w:rFonts w:cs="Arial"/>
          <w:i/>
          <w:sz w:val="22"/>
          <w:szCs w:val="22"/>
        </w:rPr>
        <w:t>Land Act 1994</w:t>
      </w:r>
      <w:r w:rsidR="00F329FC">
        <w:rPr>
          <w:rFonts w:cs="Arial"/>
          <w:sz w:val="22"/>
          <w:szCs w:val="22"/>
        </w:rPr>
        <w:t xml:space="preserve">. </w:t>
      </w:r>
    </w:p>
    <w:p w14:paraId="36D53EBC" w14:textId="2AD9E670" w:rsidR="00155C3B" w:rsidRPr="002658BD" w:rsidRDefault="002658BD" w:rsidP="002733F1">
      <w:pPr>
        <w:numPr>
          <w:ilvl w:val="0"/>
          <w:numId w:val="1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8BD">
        <w:rPr>
          <w:rFonts w:ascii="Arial" w:hAnsi="Arial" w:cs="Arial"/>
          <w:sz w:val="22"/>
          <w:szCs w:val="22"/>
        </w:rPr>
        <w:t>Amendments to t</w:t>
      </w:r>
      <w:r w:rsidR="006C227C" w:rsidRPr="002658BD">
        <w:rPr>
          <w:rFonts w:ascii="Arial" w:hAnsi="Arial" w:cs="Arial"/>
          <w:sz w:val="22"/>
          <w:szCs w:val="22"/>
        </w:rPr>
        <w:t xml:space="preserve">he </w:t>
      </w:r>
      <w:r w:rsidR="006C227C" w:rsidRPr="002658BD">
        <w:rPr>
          <w:rFonts w:ascii="Arial" w:hAnsi="Arial" w:cs="Arial"/>
          <w:i/>
          <w:sz w:val="22"/>
          <w:szCs w:val="22"/>
        </w:rPr>
        <w:t>Explosives Act 1999</w:t>
      </w:r>
      <w:r w:rsidR="006C227C" w:rsidRPr="002658BD">
        <w:rPr>
          <w:rFonts w:ascii="Arial" w:hAnsi="Arial" w:cs="Arial"/>
          <w:sz w:val="22"/>
          <w:szCs w:val="22"/>
        </w:rPr>
        <w:t xml:space="preserve"> </w:t>
      </w:r>
      <w:r w:rsidR="00E94A57">
        <w:rPr>
          <w:rFonts w:ascii="Arial" w:hAnsi="Arial" w:cs="Arial"/>
          <w:sz w:val="22"/>
          <w:szCs w:val="22"/>
        </w:rPr>
        <w:t>would</w:t>
      </w:r>
      <w:r w:rsidRPr="002658BD">
        <w:rPr>
          <w:rFonts w:ascii="Arial" w:hAnsi="Arial" w:cs="Arial"/>
          <w:sz w:val="22"/>
          <w:szCs w:val="22"/>
        </w:rPr>
        <w:t>: regulate the security of explosives</w:t>
      </w:r>
      <w:r w:rsidR="0037417E">
        <w:rPr>
          <w:rFonts w:ascii="Arial" w:hAnsi="Arial" w:cs="Arial"/>
          <w:sz w:val="22"/>
          <w:szCs w:val="22"/>
        </w:rPr>
        <w:t>;</w:t>
      </w:r>
      <w:r w:rsidRPr="002658BD">
        <w:rPr>
          <w:rFonts w:ascii="Arial" w:hAnsi="Arial" w:cs="Arial"/>
          <w:sz w:val="22"/>
          <w:szCs w:val="22"/>
        </w:rPr>
        <w:t xml:space="preserve"> improve the administration of explosives licences and authorities</w:t>
      </w:r>
      <w:r w:rsidR="0037417E">
        <w:rPr>
          <w:rFonts w:ascii="Arial" w:hAnsi="Arial" w:cs="Arial"/>
          <w:sz w:val="22"/>
          <w:szCs w:val="22"/>
        </w:rPr>
        <w:t>;</w:t>
      </w:r>
      <w:r w:rsidR="009A3667">
        <w:rPr>
          <w:rFonts w:ascii="Arial" w:hAnsi="Arial" w:cs="Arial"/>
          <w:sz w:val="22"/>
          <w:szCs w:val="22"/>
        </w:rPr>
        <w:t xml:space="preserve"> </w:t>
      </w:r>
      <w:r w:rsidRPr="002658BD">
        <w:rPr>
          <w:rFonts w:ascii="Arial" w:hAnsi="Arial" w:cs="Arial"/>
          <w:sz w:val="22"/>
          <w:szCs w:val="22"/>
        </w:rPr>
        <w:t>increase safety in the transportation of explosives; and strengthen explosives incident notification requirements</w:t>
      </w:r>
      <w:r w:rsidR="00F329FC">
        <w:rPr>
          <w:rFonts w:ascii="Arial" w:hAnsi="Arial" w:cs="Arial"/>
          <w:sz w:val="22"/>
          <w:szCs w:val="22"/>
        </w:rPr>
        <w:t xml:space="preserve">. </w:t>
      </w:r>
    </w:p>
    <w:p w14:paraId="2DD485D8" w14:textId="740ED3AD" w:rsidR="00217FF1" w:rsidRDefault="009A3667" w:rsidP="002733F1">
      <w:pPr>
        <w:pStyle w:val="CLLOparanumbers"/>
        <w:numPr>
          <w:ilvl w:val="0"/>
          <w:numId w:val="1"/>
        </w:numPr>
        <w:tabs>
          <w:tab w:val="clear" w:pos="360"/>
          <w:tab w:val="num" w:pos="567"/>
        </w:tabs>
        <w:spacing w:before="240" w:after="0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Pr="009A3667">
        <w:rPr>
          <w:rFonts w:cs="Arial"/>
          <w:i/>
          <w:sz w:val="22"/>
          <w:szCs w:val="22"/>
        </w:rPr>
        <w:t>Petroleum and Gas (Production and Safety</w:t>
      </w:r>
      <w:r w:rsidR="00922498">
        <w:rPr>
          <w:rFonts w:cs="Arial"/>
          <w:i/>
          <w:sz w:val="22"/>
          <w:szCs w:val="22"/>
        </w:rPr>
        <w:t>) Act</w:t>
      </w:r>
      <w:r w:rsidRPr="009A3667">
        <w:rPr>
          <w:rFonts w:cs="Arial"/>
          <w:i/>
          <w:sz w:val="22"/>
          <w:szCs w:val="22"/>
        </w:rPr>
        <w:t xml:space="preserve"> 2004</w:t>
      </w:r>
      <w:r>
        <w:rPr>
          <w:rFonts w:cs="Arial"/>
          <w:i/>
          <w:sz w:val="22"/>
          <w:szCs w:val="22"/>
        </w:rPr>
        <w:t xml:space="preserve"> </w:t>
      </w:r>
      <w:r w:rsidR="00E94A57">
        <w:rPr>
          <w:rFonts w:cs="Arial"/>
          <w:sz w:val="22"/>
          <w:szCs w:val="22"/>
        </w:rPr>
        <w:t>would</w:t>
      </w:r>
      <w:r>
        <w:rPr>
          <w:rFonts w:cs="Arial"/>
          <w:sz w:val="22"/>
          <w:szCs w:val="22"/>
        </w:rPr>
        <w:t xml:space="preserve">: </w:t>
      </w:r>
      <w:r w:rsidR="00922498">
        <w:rPr>
          <w:rFonts w:cs="Arial"/>
          <w:sz w:val="22"/>
          <w:szCs w:val="22"/>
        </w:rPr>
        <w:t>re</w:t>
      </w:r>
      <w:r w:rsidR="000332A2">
        <w:rPr>
          <w:rFonts w:cs="Arial"/>
          <w:sz w:val="22"/>
          <w:szCs w:val="22"/>
        </w:rPr>
        <w:t xml:space="preserve">vise </w:t>
      </w:r>
      <w:r w:rsidR="00922498">
        <w:rPr>
          <w:rFonts w:cs="Arial"/>
          <w:sz w:val="22"/>
          <w:szCs w:val="22"/>
        </w:rPr>
        <w:t>safety report</w:t>
      </w:r>
      <w:r w:rsidR="000332A2">
        <w:rPr>
          <w:rFonts w:cs="Arial"/>
          <w:sz w:val="22"/>
          <w:szCs w:val="22"/>
        </w:rPr>
        <w:t>ing</w:t>
      </w:r>
      <w:r w:rsidR="00922498">
        <w:rPr>
          <w:rFonts w:cs="Arial"/>
          <w:sz w:val="22"/>
          <w:szCs w:val="22"/>
        </w:rPr>
        <w:t xml:space="preserve"> requirements</w:t>
      </w:r>
      <w:r w:rsidR="000332A2">
        <w:rPr>
          <w:rFonts w:cs="Arial"/>
          <w:sz w:val="22"/>
          <w:szCs w:val="22"/>
        </w:rPr>
        <w:t xml:space="preserve"> so they are real time and support effective gas safety regulation</w:t>
      </w:r>
      <w:r w:rsidR="00A24526">
        <w:rPr>
          <w:rFonts w:cs="Arial"/>
          <w:sz w:val="22"/>
          <w:szCs w:val="22"/>
        </w:rPr>
        <w:t xml:space="preserve">; </w:t>
      </w:r>
      <w:r w:rsidR="00922498">
        <w:rPr>
          <w:rFonts w:cs="Arial"/>
          <w:sz w:val="22"/>
          <w:szCs w:val="22"/>
        </w:rPr>
        <w:t>confirm an operator of operating plant can be a corporation or an individual</w:t>
      </w:r>
      <w:r w:rsidR="00A24526">
        <w:rPr>
          <w:rFonts w:cs="Arial"/>
          <w:sz w:val="22"/>
          <w:szCs w:val="22"/>
        </w:rPr>
        <w:t xml:space="preserve">; </w:t>
      </w:r>
      <w:r w:rsidR="00922498">
        <w:rPr>
          <w:rFonts w:cs="Arial"/>
          <w:sz w:val="22"/>
          <w:szCs w:val="22"/>
        </w:rPr>
        <w:t>establish a transparent process for appointing approving authorities for gas devices</w:t>
      </w:r>
      <w:r w:rsidR="00A24526">
        <w:rPr>
          <w:rFonts w:cs="Arial"/>
          <w:sz w:val="22"/>
          <w:szCs w:val="22"/>
        </w:rPr>
        <w:t xml:space="preserve">; </w:t>
      </w:r>
      <w:r w:rsidR="00922498">
        <w:rPr>
          <w:rFonts w:cs="Arial"/>
          <w:sz w:val="22"/>
          <w:szCs w:val="22"/>
        </w:rPr>
        <w:t>rationalise safety requirements for all fuel gas networks</w:t>
      </w:r>
      <w:r w:rsidR="00A24526">
        <w:rPr>
          <w:rFonts w:cs="Arial"/>
          <w:sz w:val="22"/>
          <w:szCs w:val="22"/>
        </w:rPr>
        <w:t>;</w:t>
      </w:r>
      <w:r w:rsidR="00922498">
        <w:rPr>
          <w:rFonts w:cs="Arial"/>
          <w:sz w:val="22"/>
          <w:szCs w:val="22"/>
        </w:rPr>
        <w:t xml:space="preserve"> align other safety provisions with Queensland’s mining safety legislation and general work place laws;</w:t>
      </w:r>
      <w:r>
        <w:rPr>
          <w:rFonts w:cs="Arial"/>
          <w:sz w:val="22"/>
          <w:szCs w:val="22"/>
        </w:rPr>
        <w:t xml:space="preserve"> </w:t>
      </w:r>
      <w:r w:rsidR="00922498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 xml:space="preserve">include provisions for </w:t>
      </w:r>
      <w:r w:rsidR="00922498">
        <w:rPr>
          <w:rFonts w:cs="Arial"/>
          <w:sz w:val="22"/>
          <w:szCs w:val="22"/>
        </w:rPr>
        <w:t xml:space="preserve">managing </w:t>
      </w:r>
      <w:r>
        <w:rPr>
          <w:rFonts w:cs="Arial"/>
          <w:sz w:val="22"/>
          <w:szCs w:val="22"/>
        </w:rPr>
        <w:t>abandoned operating plant</w:t>
      </w:r>
      <w:r w:rsidR="003804F0">
        <w:rPr>
          <w:rFonts w:cs="Arial"/>
          <w:sz w:val="22"/>
          <w:szCs w:val="22"/>
        </w:rPr>
        <w:t xml:space="preserve">. </w:t>
      </w:r>
    </w:p>
    <w:p w14:paraId="4D1F7740" w14:textId="77DB8656" w:rsidR="002658BD" w:rsidRDefault="00217FF1" w:rsidP="002733F1">
      <w:pPr>
        <w:pStyle w:val="CLLOparanumbers"/>
        <w:numPr>
          <w:ilvl w:val="0"/>
          <w:numId w:val="1"/>
        </w:numPr>
        <w:tabs>
          <w:tab w:val="clear" w:pos="360"/>
          <w:tab w:val="num" w:pos="567"/>
        </w:tabs>
        <w:spacing w:before="240" w:after="0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804F0">
        <w:rPr>
          <w:rFonts w:cs="Arial"/>
          <w:sz w:val="22"/>
          <w:szCs w:val="22"/>
        </w:rPr>
        <w:t xml:space="preserve">echnical amendments </w:t>
      </w:r>
      <w:r>
        <w:rPr>
          <w:rFonts w:cs="Arial"/>
          <w:sz w:val="22"/>
          <w:szCs w:val="22"/>
        </w:rPr>
        <w:t xml:space="preserve">to the </w:t>
      </w:r>
      <w:r w:rsidRPr="009A3667">
        <w:rPr>
          <w:rFonts w:cs="Arial"/>
          <w:i/>
          <w:sz w:val="22"/>
          <w:szCs w:val="22"/>
        </w:rPr>
        <w:t>Mineral Resources Act 1989</w:t>
      </w:r>
      <w:r>
        <w:rPr>
          <w:rFonts w:cs="Arial"/>
          <w:i/>
          <w:sz w:val="22"/>
          <w:szCs w:val="22"/>
        </w:rPr>
        <w:t xml:space="preserve"> </w:t>
      </w:r>
      <w:r w:rsidRPr="00217FF1">
        <w:rPr>
          <w:rFonts w:cs="Arial"/>
          <w:sz w:val="22"/>
          <w:szCs w:val="22"/>
        </w:rPr>
        <w:t>and the</w:t>
      </w:r>
      <w:r>
        <w:rPr>
          <w:rFonts w:cs="Arial"/>
          <w:i/>
          <w:sz w:val="22"/>
          <w:szCs w:val="22"/>
        </w:rPr>
        <w:t xml:space="preserve"> Mineral and Energy Resources (Common Provisions) Act </w:t>
      </w:r>
      <w:r w:rsidR="00922498">
        <w:rPr>
          <w:rFonts w:cs="Arial"/>
          <w:i/>
          <w:sz w:val="22"/>
          <w:szCs w:val="22"/>
        </w:rPr>
        <w:t xml:space="preserve">2014 </w:t>
      </w:r>
      <w:r w:rsidR="00E94A57">
        <w:rPr>
          <w:rFonts w:cs="Arial"/>
          <w:sz w:val="22"/>
          <w:szCs w:val="22"/>
        </w:rPr>
        <w:t>would</w:t>
      </w:r>
      <w:r>
        <w:rPr>
          <w:rFonts w:cs="Arial"/>
          <w:i/>
          <w:sz w:val="22"/>
          <w:szCs w:val="22"/>
        </w:rPr>
        <w:t xml:space="preserve"> </w:t>
      </w:r>
      <w:r w:rsidR="003804F0">
        <w:rPr>
          <w:rFonts w:cs="Arial"/>
          <w:sz w:val="22"/>
          <w:szCs w:val="22"/>
        </w:rPr>
        <w:t>address</w:t>
      </w:r>
      <w:r w:rsidR="003F74FD">
        <w:rPr>
          <w:rFonts w:cs="Arial"/>
          <w:sz w:val="22"/>
          <w:szCs w:val="22"/>
        </w:rPr>
        <w:t xml:space="preserve"> operational</w:t>
      </w:r>
      <w:r w:rsidR="003804F0">
        <w:rPr>
          <w:rFonts w:cs="Arial"/>
          <w:sz w:val="22"/>
          <w:szCs w:val="22"/>
        </w:rPr>
        <w:t xml:space="preserve"> issues</w:t>
      </w:r>
      <w:r>
        <w:rPr>
          <w:rFonts w:cs="Arial"/>
          <w:sz w:val="22"/>
          <w:szCs w:val="22"/>
        </w:rPr>
        <w:t xml:space="preserve"> identified by industry and the department</w:t>
      </w:r>
      <w:r w:rsidR="003804F0">
        <w:rPr>
          <w:rFonts w:cs="Arial"/>
          <w:sz w:val="22"/>
          <w:szCs w:val="22"/>
        </w:rPr>
        <w:t xml:space="preserve"> in relation to the </w:t>
      </w:r>
      <w:r>
        <w:rPr>
          <w:rFonts w:cs="Arial"/>
          <w:sz w:val="22"/>
          <w:szCs w:val="22"/>
        </w:rPr>
        <w:t xml:space="preserve">new </w:t>
      </w:r>
      <w:r w:rsidR="003804F0">
        <w:rPr>
          <w:rFonts w:cs="Arial"/>
          <w:sz w:val="22"/>
          <w:szCs w:val="22"/>
        </w:rPr>
        <w:t>overlapping tenure framework for coal and coal seam gas.</w:t>
      </w:r>
    </w:p>
    <w:p w14:paraId="4B2EAC8A" w14:textId="6FE6B229" w:rsidR="00AC598B" w:rsidRDefault="00F00AD1" w:rsidP="002733F1">
      <w:pPr>
        <w:pStyle w:val="CLLOparanumbers"/>
        <w:numPr>
          <w:ilvl w:val="0"/>
          <w:numId w:val="1"/>
        </w:numPr>
        <w:tabs>
          <w:tab w:val="clear" w:pos="360"/>
          <w:tab w:val="num" w:pos="567"/>
        </w:tabs>
        <w:spacing w:before="240" w:after="0"/>
        <w:ind w:left="567" w:hanging="567"/>
        <w:rPr>
          <w:rFonts w:cs="Arial"/>
          <w:sz w:val="22"/>
          <w:szCs w:val="22"/>
        </w:rPr>
      </w:pPr>
      <w:r w:rsidRPr="00AC598B">
        <w:rPr>
          <w:rFonts w:cs="Arial"/>
          <w:sz w:val="22"/>
          <w:szCs w:val="22"/>
        </w:rPr>
        <w:t xml:space="preserve">The </w:t>
      </w:r>
      <w:r w:rsidRPr="00AC598B">
        <w:rPr>
          <w:rFonts w:cs="Arial"/>
          <w:i/>
          <w:sz w:val="22"/>
          <w:szCs w:val="22"/>
        </w:rPr>
        <w:t>Foreign Ownership of Land Register Act 1988</w:t>
      </w:r>
      <w:r w:rsidRPr="00AC598B">
        <w:rPr>
          <w:rFonts w:cs="Arial"/>
          <w:sz w:val="22"/>
          <w:szCs w:val="22"/>
        </w:rPr>
        <w:t xml:space="preserve"> (FOLR Act) </w:t>
      </w:r>
      <w:r w:rsidR="00E94A57">
        <w:rPr>
          <w:rFonts w:cs="Arial"/>
          <w:sz w:val="22"/>
          <w:szCs w:val="22"/>
        </w:rPr>
        <w:t xml:space="preserve">amends the </w:t>
      </w:r>
      <w:r w:rsidRPr="00AC598B">
        <w:rPr>
          <w:rFonts w:cs="Arial"/>
          <w:sz w:val="22"/>
          <w:szCs w:val="22"/>
        </w:rPr>
        <w:t xml:space="preserve">definitions of foreign person and foreign interest consistent with </w:t>
      </w:r>
      <w:r w:rsidR="00AC598B">
        <w:rPr>
          <w:rFonts w:cs="Arial"/>
          <w:sz w:val="22"/>
          <w:szCs w:val="22"/>
        </w:rPr>
        <w:t>those</w:t>
      </w:r>
      <w:r w:rsidRPr="00AC598B">
        <w:rPr>
          <w:rFonts w:cs="Arial"/>
          <w:sz w:val="22"/>
          <w:szCs w:val="22"/>
        </w:rPr>
        <w:t xml:space="preserve"> used in the </w:t>
      </w:r>
      <w:r w:rsidRPr="00AC598B">
        <w:rPr>
          <w:rFonts w:cs="Arial"/>
          <w:i/>
          <w:sz w:val="22"/>
          <w:szCs w:val="22"/>
        </w:rPr>
        <w:t>Duties Act 2001</w:t>
      </w:r>
      <w:r w:rsidRPr="00AC598B">
        <w:rPr>
          <w:rFonts w:cs="Arial"/>
          <w:sz w:val="22"/>
          <w:szCs w:val="22"/>
        </w:rPr>
        <w:t>.  Further technical amendments will generally up-date the FOLR Act</w:t>
      </w:r>
      <w:r w:rsidR="00AC598B" w:rsidRPr="00AC598B">
        <w:rPr>
          <w:rFonts w:cs="Arial"/>
          <w:sz w:val="22"/>
          <w:szCs w:val="22"/>
        </w:rPr>
        <w:t xml:space="preserve">. </w:t>
      </w:r>
    </w:p>
    <w:p w14:paraId="589DFF40" w14:textId="004DD29F" w:rsidR="00D32520" w:rsidRPr="00AC598B" w:rsidRDefault="00D32520" w:rsidP="002733F1">
      <w:pPr>
        <w:pStyle w:val="CLLOparanumbers"/>
        <w:numPr>
          <w:ilvl w:val="0"/>
          <w:numId w:val="1"/>
        </w:numPr>
        <w:tabs>
          <w:tab w:val="clear" w:pos="360"/>
          <w:tab w:val="num" w:pos="567"/>
        </w:tabs>
        <w:spacing w:before="240" w:after="0"/>
        <w:ind w:left="567" w:hanging="567"/>
        <w:rPr>
          <w:rFonts w:cs="Arial"/>
          <w:sz w:val="22"/>
          <w:szCs w:val="22"/>
        </w:rPr>
      </w:pPr>
      <w:r w:rsidRPr="00AC598B">
        <w:rPr>
          <w:rFonts w:cs="Arial"/>
          <w:sz w:val="22"/>
          <w:szCs w:val="22"/>
        </w:rPr>
        <w:t xml:space="preserve">Amendments to the </w:t>
      </w:r>
      <w:r w:rsidRPr="00AC598B">
        <w:rPr>
          <w:rFonts w:cs="Arial"/>
          <w:i/>
          <w:sz w:val="22"/>
          <w:szCs w:val="22"/>
        </w:rPr>
        <w:t>Land Title Act 1994</w:t>
      </w:r>
      <w:r w:rsidRPr="00AC598B">
        <w:rPr>
          <w:rFonts w:cs="Arial"/>
          <w:sz w:val="22"/>
          <w:szCs w:val="22"/>
        </w:rPr>
        <w:t xml:space="preserve"> eliminate</w:t>
      </w:r>
      <w:r w:rsidR="00257D15">
        <w:rPr>
          <w:rFonts w:cs="Arial"/>
          <w:sz w:val="22"/>
          <w:szCs w:val="22"/>
        </w:rPr>
        <w:t>s</w:t>
      </w:r>
      <w:r w:rsidRPr="00AC598B">
        <w:rPr>
          <w:rFonts w:cs="Arial"/>
          <w:sz w:val="22"/>
          <w:szCs w:val="22"/>
        </w:rPr>
        <w:t xml:space="preserve"> duplicate paper certificates of title, aligning Queensland with other jurisdictions. </w:t>
      </w:r>
    </w:p>
    <w:p w14:paraId="40562147" w14:textId="4495DDD3" w:rsidR="00D32520" w:rsidRDefault="00F329FC" w:rsidP="002733F1">
      <w:pPr>
        <w:pStyle w:val="CLLOparanumbers"/>
        <w:numPr>
          <w:ilvl w:val="0"/>
          <w:numId w:val="1"/>
        </w:numPr>
        <w:tabs>
          <w:tab w:val="clear" w:pos="360"/>
          <w:tab w:val="num" w:pos="567"/>
        </w:tabs>
        <w:spacing w:before="240" w:after="0"/>
        <w:ind w:left="567" w:hanging="567"/>
        <w:rPr>
          <w:rFonts w:cs="Arial"/>
          <w:sz w:val="22"/>
          <w:szCs w:val="22"/>
        </w:rPr>
      </w:pPr>
      <w:r w:rsidRPr="002F6791">
        <w:rPr>
          <w:rFonts w:cs="Arial"/>
          <w:sz w:val="22"/>
          <w:szCs w:val="22"/>
        </w:rPr>
        <w:t xml:space="preserve">The </w:t>
      </w:r>
      <w:r w:rsidRPr="002F6791">
        <w:rPr>
          <w:rFonts w:cs="Arial"/>
          <w:i/>
          <w:sz w:val="22"/>
          <w:szCs w:val="22"/>
        </w:rPr>
        <w:t>Aboriginal Land Act 1991</w:t>
      </w:r>
      <w:r w:rsidRPr="002F6791">
        <w:rPr>
          <w:rFonts w:cs="Arial"/>
          <w:sz w:val="22"/>
          <w:szCs w:val="22"/>
        </w:rPr>
        <w:t xml:space="preserve"> and </w:t>
      </w:r>
      <w:r w:rsidRPr="002F6791">
        <w:rPr>
          <w:rFonts w:cs="Arial"/>
          <w:i/>
          <w:sz w:val="22"/>
          <w:szCs w:val="22"/>
        </w:rPr>
        <w:t>Torres Strait Islander Land Act 1991</w:t>
      </w:r>
      <w:r w:rsidR="002F6791" w:rsidRPr="002F6791">
        <w:rPr>
          <w:rFonts w:cs="Arial"/>
          <w:sz w:val="22"/>
          <w:szCs w:val="22"/>
        </w:rPr>
        <w:t xml:space="preserve"> </w:t>
      </w:r>
      <w:r w:rsidR="00257D15">
        <w:rPr>
          <w:rFonts w:cs="Arial"/>
          <w:sz w:val="22"/>
          <w:szCs w:val="22"/>
        </w:rPr>
        <w:t>would</w:t>
      </w:r>
      <w:r w:rsidR="002F6791" w:rsidRPr="002F6791">
        <w:rPr>
          <w:rFonts w:cs="Arial"/>
          <w:sz w:val="22"/>
          <w:szCs w:val="22"/>
        </w:rPr>
        <w:t xml:space="preserve"> </w:t>
      </w:r>
      <w:r w:rsidR="00B9126C">
        <w:rPr>
          <w:rFonts w:cs="Arial"/>
          <w:sz w:val="22"/>
          <w:szCs w:val="22"/>
        </w:rPr>
        <w:t xml:space="preserve">reduce administrative and compliance burden in the </w:t>
      </w:r>
      <w:r w:rsidR="002F6791" w:rsidRPr="002F6791">
        <w:rPr>
          <w:rFonts w:cs="Arial"/>
          <w:sz w:val="22"/>
          <w:szCs w:val="22"/>
        </w:rPr>
        <w:t>grant</w:t>
      </w:r>
      <w:r w:rsidR="00B9126C">
        <w:rPr>
          <w:rFonts w:cs="Arial"/>
          <w:sz w:val="22"/>
          <w:szCs w:val="22"/>
        </w:rPr>
        <w:t>ing of land</w:t>
      </w:r>
      <w:r w:rsidR="003246B2">
        <w:rPr>
          <w:rFonts w:cs="Arial"/>
          <w:sz w:val="22"/>
          <w:szCs w:val="22"/>
        </w:rPr>
        <w:t xml:space="preserve"> to an appropriate entity</w:t>
      </w:r>
      <w:r w:rsidR="00A24526">
        <w:rPr>
          <w:rFonts w:cs="Arial"/>
          <w:sz w:val="22"/>
          <w:szCs w:val="22"/>
        </w:rPr>
        <w:t>; and</w:t>
      </w:r>
      <w:r w:rsidR="002F6791" w:rsidRPr="002F6791">
        <w:rPr>
          <w:rFonts w:cs="Arial"/>
          <w:sz w:val="22"/>
          <w:szCs w:val="22"/>
        </w:rPr>
        <w:t xml:space="preserve"> </w:t>
      </w:r>
      <w:r w:rsidR="003F74FD">
        <w:rPr>
          <w:rFonts w:cs="Arial"/>
          <w:sz w:val="22"/>
          <w:szCs w:val="22"/>
        </w:rPr>
        <w:t xml:space="preserve">allow for the setting of </w:t>
      </w:r>
      <w:r w:rsidR="0037417E">
        <w:rPr>
          <w:rFonts w:cs="Arial"/>
          <w:sz w:val="22"/>
          <w:szCs w:val="22"/>
        </w:rPr>
        <w:t xml:space="preserve">the </w:t>
      </w:r>
      <w:r w:rsidR="003F74FD">
        <w:rPr>
          <w:rFonts w:cs="Arial"/>
          <w:sz w:val="22"/>
          <w:szCs w:val="22"/>
        </w:rPr>
        <w:t>sale price of social housing on indigenous land.</w:t>
      </w:r>
    </w:p>
    <w:p w14:paraId="43477144" w14:textId="382ACBDD" w:rsidR="00922498" w:rsidRDefault="003F74FD" w:rsidP="002733F1">
      <w:pPr>
        <w:pStyle w:val="CLLOparanumbers"/>
        <w:numPr>
          <w:ilvl w:val="0"/>
          <w:numId w:val="1"/>
        </w:numPr>
        <w:tabs>
          <w:tab w:val="clear" w:pos="360"/>
          <w:tab w:val="num" w:pos="567"/>
        </w:tabs>
        <w:spacing w:before="240" w:after="0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Amendments to the </w:t>
      </w:r>
      <w:r w:rsidRPr="003F74FD">
        <w:rPr>
          <w:rFonts w:cs="Arial"/>
          <w:i/>
          <w:sz w:val="22"/>
          <w:szCs w:val="22"/>
        </w:rPr>
        <w:t>Land Act 1994</w:t>
      </w:r>
      <w:r>
        <w:rPr>
          <w:rFonts w:cs="Arial"/>
          <w:sz w:val="22"/>
          <w:szCs w:val="22"/>
        </w:rPr>
        <w:t xml:space="preserve"> </w:t>
      </w:r>
      <w:r w:rsidR="00257D15">
        <w:rPr>
          <w:rFonts w:cs="Arial"/>
          <w:sz w:val="22"/>
          <w:szCs w:val="22"/>
        </w:rPr>
        <w:t xml:space="preserve">would </w:t>
      </w:r>
      <w:r w:rsidR="009C3786">
        <w:rPr>
          <w:rFonts w:cs="Arial"/>
          <w:sz w:val="22"/>
          <w:szCs w:val="22"/>
        </w:rPr>
        <w:t xml:space="preserve">enable the safe and ongoing use of </w:t>
      </w:r>
      <w:r w:rsidR="00A05D60">
        <w:rPr>
          <w:rFonts w:cs="Arial"/>
          <w:sz w:val="22"/>
          <w:szCs w:val="22"/>
        </w:rPr>
        <w:t>s</w:t>
      </w:r>
      <w:r w:rsidR="009C3786">
        <w:rPr>
          <w:rFonts w:cs="Arial"/>
          <w:sz w:val="22"/>
          <w:szCs w:val="22"/>
        </w:rPr>
        <w:t>tate land by providing</w:t>
      </w:r>
      <w:r>
        <w:rPr>
          <w:rFonts w:cs="Arial"/>
          <w:sz w:val="22"/>
          <w:szCs w:val="22"/>
        </w:rPr>
        <w:t xml:space="preserve"> modern compliance provisions</w:t>
      </w:r>
      <w:r w:rsidR="009C3786">
        <w:rPr>
          <w:rFonts w:cs="Arial"/>
          <w:sz w:val="22"/>
          <w:szCs w:val="22"/>
        </w:rPr>
        <w:t xml:space="preserve"> </w:t>
      </w:r>
      <w:r w:rsidR="00402386">
        <w:rPr>
          <w:rFonts w:cs="Arial"/>
          <w:sz w:val="22"/>
          <w:szCs w:val="22"/>
        </w:rPr>
        <w:t xml:space="preserve">and </w:t>
      </w:r>
      <w:r w:rsidR="009C3786">
        <w:rPr>
          <w:rFonts w:cs="Arial"/>
          <w:sz w:val="22"/>
          <w:szCs w:val="22"/>
        </w:rPr>
        <w:t xml:space="preserve">addressing </w:t>
      </w:r>
      <w:r w:rsidR="004E71BA">
        <w:rPr>
          <w:rFonts w:cs="Arial"/>
          <w:sz w:val="22"/>
          <w:szCs w:val="22"/>
        </w:rPr>
        <w:t xml:space="preserve">dangerous, </w:t>
      </w:r>
      <w:r w:rsidR="009C3786">
        <w:rPr>
          <w:rFonts w:cs="Arial"/>
          <w:sz w:val="22"/>
          <w:szCs w:val="22"/>
        </w:rPr>
        <w:t>unsafe and inappropriate buildings and structures</w:t>
      </w:r>
      <w:r>
        <w:rPr>
          <w:rFonts w:cs="Arial"/>
          <w:sz w:val="22"/>
          <w:szCs w:val="22"/>
        </w:rPr>
        <w:t xml:space="preserve"> </w:t>
      </w:r>
      <w:r w:rsidR="009C3786">
        <w:rPr>
          <w:rFonts w:cs="Arial"/>
          <w:sz w:val="22"/>
          <w:szCs w:val="22"/>
        </w:rPr>
        <w:t>through</w:t>
      </w:r>
      <w:r w:rsidR="001C7904">
        <w:rPr>
          <w:rFonts w:cs="Arial"/>
          <w:sz w:val="22"/>
          <w:szCs w:val="22"/>
        </w:rPr>
        <w:t xml:space="preserve"> </w:t>
      </w:r>
      <w:r w:rsidR="00817AA2">
        <w:rPr>
          <w:rFonts w:cs="Arial"/>
          <w:sz w:val="22"/>
          <w:szCs w:val="22"/>
        </w:rPr>
        <w:t>improve</w:t>
      </w:r>
      <w:r w:rsidR="009C3786">
        <w:rPr>
          <w:rFonts w:cs="Arial"/>
          <w:sz w:val="22"/>
          <w:szCs w:val="22"/>
        </w:rPr>
        <w:t>d</w:t>
      </w:r>
      <w:r w:rsidR="00817AA2">
        <w:rPr>
          <w:rFonts w:cs="Arial"/>
          <w:sz w:val="22"/>
          <w:szCs w:val="22"/>
        </w:rPr>
        <w:t xml:space="preserve"> tenure security for</w:t>
      </w:r>
      <w:r w:rsidR="009C3786">
        <w:rPr>
          <w:rFonts w:cs="Arial"/>
          <w:sz w:val="22"/>
          <w:szCs w:val="22"/>
        </w:rPr>
        <w:t xml:space="preserve"> certain</w:t>
      </w:r>
      <w:r w:rsidR="00817AA2">
        <w:rPr>
          <w:rFonts w:cs="Arial"/>
          <w:sz w:val="22"/>
          <w:szCs w:val="22"/>
        </w:rPr>
        <w:t xml:space="preserve"> leases on regulated islands</w:t>
      </w:r>
      <w:r w:rsidR="001C7904">
        <w:rPr>
          <w:rFonts w:cs="Arial"/>
          <w:sz w:val="22"/>
          <w:szCs w:val="22"/>
        </w:rPr>
        <w:t>.</w:t>
      </w:r>
    </w:p>
    <w:p w14:paraId="26D11AB1" w14:textId="77777777" w:rsidR="003F74FD" w:rsidRPr="00A24526" w:rsidRDefault="00922498" w:rsidP="002733F1">
      <w:pPr>
        <w:numPr>
          <w:ilvl w:val="0"/>
          <w:numId w:val="1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922498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The Bill also amends the </w:t>
      </w:r>
      <w:r w:rsidRPr="00922498">
        <w:rPr>
          <w:rFonts w:ascii="Arial" w:eastAsia="Times New Roman" w:hAnsi="Arial" w:cs="Arial"/>
          <w:i/>
          <w:color w:val="auto"/>
          <w:sz w:val="22"/>
          <w:szCs w:val="22"/>
          <w:lang w:eastAsia="en-US"/>
        </w:rPr>
        <w:t>Cape York Peninsula Heritage Act 2007</w:t>
      </w:r>
      <w:r w:rsidRPr="00922498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 to continue the existing prohibition regarding resource activities on two properties on Cape York Peninsula following the recent transfer as Aboriginal freehold land.</w:t>
      </w:r>
    </w:p>
    <w:p w14:paraId="3EF9BBBD" w14:textId="19ED6E98" w:rsidR="00BC6952" w:rsidRPr="00B408D4" w:rsidRDefault="00BC6952" w:rsidP="002733F1">
      <w:pPr>
        <w:numPr>
          <w:ilvl w:val="0"/>
          <w:numId w:val="1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2BA9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A27D7C">
        <w:rPr>
          <w:rFonts w:ascii="Arial" w:hAnsi="Arial" w:cs="Arial"/>
          <w:sz w:val="22"/>
          <w:szCs w:val="22"/>
        </w:rPr>
        <w:t>that the</w:t>
      </w:r>
      <w:r w:rsidR="001C5493" w:rsidRPr="001C5493">
        <w:rPr>
          <w:rFonts w:ascii="Arial" w:hAnsi="Arial" w:cs="Arial"/>
          <w:sz w:val="22"/>
          <w:szCs w:val="22"/>
        </w:rPr>
        <w:t xml:space="preserve"> </w:t>
      </w:r>
      <w:r w:rsidR="00257D15">
        <w:rPr>
          <w:rFonts w:ascii="Arial" w:hAnsi="Arial" w:cs="Arial"/>
          <w:sz w:val="22"/>
          <w:szCs w:val="22"/>
        </w:rPr>
        <w:t xml:space="preserve">Land, Explosives and Other Legislation Amendment </w:t>
      </w:r>
      <w:r w:rsidR="00702333" w:rsidRPr="00702333">
        <w:rPr>
          <w:rFonts w:ascii="Arial" w:hAnsi="Arial" w:cs="Arial"/>
          <w:sz w:val="22"/>
          <w:szCs w:val="22"/>
        </w:rPr>
        <w:t>Bil</w:t>
      </w:r>
      <w:r w:rsidR="00AC598B">
        <w:rPr>
          <w:rFonts w:ascii="Arial" w:hAnsi="Arial" w:cs="Arial"/>
          <w:sz w:val="22"/>
          <w:szCs w:val="22"/>
        </w:rPr>
        <w:t>l</w:t>
      </w:r>
      <w:r w:rsidR="0015757C">
        <w:rPr>
          <w:rFonts w:ascii="Arial" w:hAnsi="Arial" w:cs="Arial"/>
          <w:sz w:val="22"/>
          <w:szCs w:val="22"/>
        </w:rPr>
        <w:t xml:space="preserve"> </w:t>
      </w:r>
      <w:r w:rsidR="00257D15">
        <w:rPr>
          <w:rFonts w:ascii="Arial" w:hAnsi="Arial" w:cs="Arial"/>
          <w:sz w:val="22"/>
          <w:szCs w:val="22"/>
        </w:rPr>
        <w:t xml:space="preserve">2017 </w:t>
      </w:r>
      <w:r w:rsidR="00A27D7C">
        <w:rPr>
          <w:rFonts w:ascii="Arial" w:hAnsi="Arial" w:cs="Arial"/>
          <w:sz w:val="22"/>
          <w:szCs w:val="22"/>
        </w:rPr>
        <w:t>be introduced into the Legislative Assembly.</w:t>
      </w:r>
    </w:p>
    <w:p w14:paraId="0DA4076C" w14:textId="77777777" w:rsidR="00A27D7C" w:rsidRPr="0015757C" w:rsidRDefault="00BC6952" w:rsidP="002733F1">
      <w:pPr>
        <w:numPr>
          <w:ilvl w:val="0"/>
          <w:numId w:val="1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02BA9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8BD71D4" w14:textId="7A27DB3F" w:rsidR="0015757C" w:rsidRPr="007A7242" w:rsidRDefault="00064BB7" w:rsidP="007A7242">
      <w:pPr>
        <w:pStyle w:val="Header"/>
        <w:numPr>
          <w:ilvl w:val="0"/>
          <w:numId w:val="2"/>
        </w:numPr>
        <w:spacing w:before="120"/>
        <w:ind w:left="1021"/>
        <w:rPr>
          <w:rFonts w:ascii="Arial" w:hAnsi="Arial" w:cs="Arial"/>
          <w:sz w:val="22"/>
          <w:szCs w:val="22"/>
        </w:rPr>
      </w:pPr>
      <w:hyperlink r:id="rId8" w:history="1">
        <w:r w:rsidR="0015757C" w:rsidRPr="00EE0A2A">
          <w:rPr>
            <w:rStyle w:val="Hyperlink"/>
            <w:rFonts w:ascii="Arial" w:hAnsi="Arial" w:cs="Arial"/>
            <w:sz w:val="22"/>
            <w:szCs w:val="22"/>
          </w:rPr>
          <w:t>La</w:t>
        </w:r>
        <w:r w:rsidR="00817AA2" w:rsidRPr="00EE0A2A">
          <w:rPr>
            <w:rStyle w:val="Hyperlink"/>
            <w:rFonts w:ascii="Arial" w:hAnsi="Arial" w:cs="Arial"/>
            <w:sz w:val="22"/>
            <w:szCs w:val="22"/>
          </w:rPr>
          <w:t xml:space="preserve">nd, Explosives </w:t>
        </w:r>
        <w:r w:rsidR="00123128" w:rsidRPr="00EE0A2A">
          <w:rPr>
            <w:rStyle w:val="Hyperlink"/>
            <w:rFonts w:ascii="Arial" w:hAnsi="Arial" w:cs="Arial"/>
            <w:sz w:val="22"/>
            <w:szCs w:val="22"/>
          </w:rPr>
          <w:t>and O</w:t>
        </w:r>
        <w:r w:rsidR="0015757C" w:rsidRPr="00EE0A2A">
          <w:rPr>
            <w:rStyle w:val="Hyperlink"/>
            <w:rFonts w:ascii="Arial" w:hAnsi="Arial" w:cs="Arial"/>
            <w:sz w:val="22"/>
            <w:szCs w:val="22"/>
          </w:rPr>
          <w:t>ther Legislation Amendment Bill 2017</w:t>
        </w:r>
      </w:hyperlink>
      <w:r w:rsidR="0015757C" w:rsidRPr="007A7242">
        <w:rPr>
          <w:rFonts w:ascii="Arial" w:hAnsi="Arial" w:cs="Arial"/>
          <w:sz w:val="22"/>
          <w:szCs w:val="22"/>
        </w:rPr>
        <w:t xml:space="preserve"> </w:t>
      </w:r>
    </w:p>
    <w:p w14:paraId="46C4C9AD" w14:textId="53B2F238" w:rsidR="00BC6952" w:rsidRPr="0086076D" w:rsidRDefault="00064BB7" w:rsidP="007A7242">
      <w:pPr>
        <w:numPr>
          <w:ilvl w:val="0"/>
          <w:numId w:val="2"/>
        </w:numPr>
        <w:spacing w:before="120"/>
        <w:ind w:left="1021"/>
        <w:jc w:val="both"/>
        <w:rPr>
          <w:rFonts w:ascii="Arial" w:hAnsi="Arial" w:cs="Arial"/>
          <w:i/>
          <w:sz w:val="22"/>
          <w:szCs w:val="22"/>
        </w:rPr>
      </w:pPr>
      <w:hyperlink r:id="rId9" w:history="1">
        <w:r w:rsidR="00A27D7C" w:rsidRPr="00EE0A2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BC6952" w:rsidRPr="0086076D" w:rsidSect="00E94A57">
      <w:headerReference w:type="default" r:id="rId10"/>
      <w:pgSz w:w="11906" w:h="16838" w:code="9"/>
      <w:pgMar w:top="1134" w:right="1134" w:bottom="1134" w:left="1134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943B" w14:textId="77777777" w:rsidR="00C1596B" w:rsidRDefault="00C1596B" w:rsidP="00D6589B">
      <w:r>
        <w:separator/>
      </w:r>
    </w:p>
  </w:endnote>
  <w:endnote w:type="continuationSeparator" w:id="0">
    <w:p w14:paraId="324E156C" w14:textId="77777777" w:rsidR="00C1596B" w:rsidRDefault="00C1596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90DF" w14:textId="77777777" w:rsidR="00C1596B" w:rsidRDefault="00C1596B" w:rsidP="00D6589B">
      <w:r>
        <w:separator/>
      </w:r>
    </w:p>
  </w:footnote>
  <w:footnote w:type="continuationSeparator" w:id="0">
    <w:p w14:paraId="5747D50A" w14:textId="77777777" w:rsidR="00C1596B" w:rsidRDefault="00C1596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A7B8" w14:textId="3AAD78E1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70130E9D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62495E5" w14:textId="77777777"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702333">
      <w:rPr>
        <w:rFonts w:ascii="Arial" w:hAnsi="Arial" w:cs="Arial"/>
        <w:b/>
        <w:sz w:val="22"/>
        <w:szCs w:val="22"/>
      </w:rPr>
      <w:t>October</w:t>
    </w:r>
    <w:r w:rsidR="00147A32">
      <w:rPr>
        <w:rFonts w:ascii="Arial" w:hAnsi="Arial" w:cs="Arial"/>
        <w:b/>
        <w:sz w:val="22"/>
        <w:szCs w:val="22"/>
      </w:rPr>
      <w:t xml:space="preserve"> </w:t>
    </w:r>
    <w:r w:rsidR="00252027">
      <w:rPr>
        <w:rFonts w:ascii="Arial" w:hAnsi="Arial" w:cs="Arial"/>
        <w:b/>
        <w:sz w:val="22"/>
        <w:szCs w:val="22"/>
      </w:rPr>
      <w:t>201</w:t>
    </w:r>
    <w:r w:rsidR="00702333">
      <w:rPr>
        <w:rFonts w:ascii="Arial" w:hAnsi="Arial" w:cs="Arial"/>
        <w:b/>
        <w:sz w:val="22"/>
        <w:szCs w:val="22"/>
      </w:rPr>
      <w:t>7</w:t>
    </w:r>
  </w:p>
  <w:p w14:paraId="64974B94" w14:textId="77777777" w:rsidR="00950178" w:rsidRDefault="0070233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La</w:t>
    </w:r>
    <w:r w:rsidR="00817AA2">
      <w:rPr>
        <w:rFonts w:ascii="Arial" w:hAnsi="Arial" w:cs="Arial"/>
        <w:b/>
        <w:sz w:val="22"/>
        <w:szCs w:val="22"/>
        <w:u w:val="single"/>
      </w:rPr>
      <w:t xml:space="preserve">nd, Explosives </w:t>
    </w:r>
    <w:r w:rsidR="00B9126C">
      <w:rPr>
        <w:rFonts w:ascii="Arial" w:hAnsi="Arial" w:cs="Arial"/>
        <w:b/>
        <w:sz w:val="22"/>
        <w:szCs w:val="22"/>
        <w:u w:val="single"/>
      </w:rPr>
      <w:t>and O</w:t>
    </w:r>
    <w:r>
      <w:rPr>
        <w:rFonts w:ascii="Arial" w:hAnsi="Arial" w:cs="Arial"/>
        <w:b/>
        <w:sz w:val="22"/>
        <w:szCs w:val="22"/>
        <w:u w:val="single"/>
      </w:rPr>
      <w:t>ther Legislation Amendment Bill 2017</w:t>
    </w:r>
  </w:p>
  <w:p w14:paraId="1B3B615B" w14:textId="77777777" w:rsidR="00950178" w:rsidRDefault="0025202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State Development and </w:t>
    </w:r>
    <w:r w:rsidR="00950178"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 and Mines</w:t>
    </w:r>
  </w:p>
  <w:p w14:paraId="5012ABCF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928"/>
    <w:multiLevelType w:val="hybridMultilevel"/>
    <w:tmpl w:val="DEC6ED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032"/>
        </w:tabs>
        <w:ind w:left="1032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9D5F0F"/>
    <w:multiLevelType w:val="hybridMultilevel"/>
    <w:tmpl w:val="91AAC8CC"/>
    <w:lvl w:ilvl="0" w:tplc="0BBEB5FE">
      <w:numFmt w:val="bullet"/>
      <w:pStyle w:val="AnswerLvl1bullet-QA"/>
      <w:lvlText w:val="•"/>
      <w:lvlJc w:val="left"/>
      <w:pPr>
        <w:ind w:left="1080" w:hanging="720"/>
      </w:pPr>
      <w:rPr>
        <w:rFonts w:ascii="Arial" w:eastAsia="Times New Roman" w:hAnsi="Arial" w:cs="Arial" w:hint="default"/>
        <w:sz w:val="22"/>
        <w:szCs w:val="22"/>
      </w:rPr>
    </w:lvl>
    <w:lvl w:ilvl="1" w:tplc="DABE49D8">
      <w:start w:val="1"/>
      <w:numFmt w:val="bullet"/>
      <w:pStyle w:val="AnswerLvl2bullet-QA"/>
      <w:lvlText w:val="o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61DE"/>
    <w:multiLevelType w:val="multilevel"/>
    <w:tmpl w:val="CBA4ECB4"/>
    <w:numStyleLink w:val="CabinetBriefingNote"/>
  </w:abstractNum>
  <w:abstractNum w:abstractNumId="3" w15:restartNumberingAfterBreak="0">
    <w:nsid w:val="48EA0CD9"/>
    <w:multiLevelType w:val="hybridMultilevel"/>
    <w:tmpl w:val="0688097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752B5D"/>
    <w:multiLevelType w:val="multilevel"/>
    <w:tmpl w:val="CBA4ECB4"/>
    <w:styleLink w:val="CabinetBriefingNot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5" w15:restartNumberingAfterBreak="0">
    <w:nsid w:val="6D302A27"/>
    <w:multiLevelType w:val="hybridMultilevel"/>
    <w:tmpl w:val="9D72AE4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032"/>
        </w:tabs>
        <w:ind w:left="1032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42A43AC"/>
    <w:multiLevelType w:val="hybridMultilevel"/>
    <w:tmpl w:val="D15C30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032"/>
        </w:tabs>
        <w:ind w:left="103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5BE4382"/>
    <w:multiLevelType w:val="hybridMultilevel"/>
    <w:tmpl w:val="5256086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6167AD5"/>
    <w:multiLevelType w:val="hybridMultilevel"/>
    <w:tmpl w:val="0AE8B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61127E6A"/>
    <w:lvl w:ilvl="0" w:tplc="18887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6"/>
    <w:lvlOverride w:ilvl="0">
      <w:lvl w:ilvl="0" w:tplc="0C09000F">
        <w:start w:val="1"/>
        <w:numFmt w:val="lowerRoman"/>
        <w:lvlText w:val="%1."/>
        <w:lvlJc w:val="right"/>
        <w:pPr>
          <w:tabs>
            <w:tab w:val="num" w:pos="1032"/>
          </w:tabs>
          <w:ind w:left="1032" w:hanging="180"/>
        </w:pPr>
        <w:rPr>
          <w:rFonts w:cs="Times New Roman" w:hint="default"/>
        </w:rPr>
      </w:lvl>
    </w:lvlOverride>
    <w:lvlOverride w:ilvl="1">
      <w:lvl w:ilvl="1" w:tplc="0C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7C"/>
    <w:rsid w:val="00002BA9"/>
    <w:rsid w:val="000104F5"/>
    <w:rsid w:val="000332A2"/>
    <w:rsid w:val="000430DD"/>
    <w:rsid w:val="00047EF4"/>
    <w:rsid w:val="00064BB7"/>
    <w:rsid w:val="00080F8F"/>
    <w:rsid w:val="000B02FD"/>
    <w:rsid w:val="000E11D9"/>
    <w:rsid w:val="00123128"/>
    <w:rsid w:val="001328AB"/>
    <w:rsid w:val="00140936"/>
    <w:rsid w:val="00147A32"/>
    <w:rsid w:val="00155C3B"/>
    <w:rsid w:val="0015757C"/>
    <w:rsid w:val="001622C4"/>
    <w:rsid w:val="001712CC"/>
    <w:rsid w:val="001B06AC"/>
    <w:rsid w:val="001B72DE"/>
    <w:rsid w:val="001C5493"/>
    <w:rsid w:val="001C7904"/>
    <w:rsid w:val="001E209B"/>
    <w:rsid w:val="0021344B"/>
    <w:rsid w:val="00217FF1"/>
    <w:rsid w:val="00252027"/>
    <w:rsid w:val="00257D15"/>
    <w:rsid w:val="00261223"/>
    <w:rsid w:val="002658BD"/>
    <w:rsid w:val="002733F1"/>
    <w:rsid w:val="002F6791"/>
    <w:rsid w:val="00310EBA"/>
    <w:rsid w:val="003246B2"/>
    <w:rsid w:val="00331B2C"/>
    <w:rsid w:val="00371F0A"/>
    <w:rsid w:val="0037417E"/>
    <w:rsid w:val="003804F0"/>
    <w:rsid w:val="003A307D"/>
    <w:rsid w:val="003A5832"/>
    <w:rsid w:val="003A584C"/>
    <w:rsid w:val="003B5871"/>
    <w:rsid w:val="003F74FD"/>
    <w:rsid w:val="00402386"/>
    <w:rsid w:val="004036A2"/>
    <w:rsid w:val="00414AD5"/>
    <w:rsid w:val="00432FB1"/>
    <w:rsid w:val="0046316C"/>
    <w:rsid w:val="00472063"/>
    <w:rsid w:val="004B762B"/>
    <w:rsid w:val="004D4317"/>
    <w:rsid w:val="004E3AE1"/>
    <w:rsid w:val="004E71BA"/>
    <w:rsid w:val="004F40DE"/>
    <w:rsid w:val="00501C66"/>
    <w:rsid w:val="00506D9D"/>
    <w:rsid w:val="00590178"/>
    <w:rsid w:val="005E6D82"/>
    <w:rsid w:val="00613603"/>
    <w:rsid w:val="006208F5"/>
    <w:rsid w:val="006712EC"/>
    <w:rsid w:val="006B3299"/>
    <w:rsid w:val="006B6BCE"/>
    <w:rsid w:val="006C227C"/>
    <w:rsid w:val="006D27DD"/>
    <w:rsid w:val="006F12A0"/>
    <w:rsid w:val="00702333"/>
    <w:rsid w:val="00732E22"/>
    <w:rsid w:val="00740EF5"/>
    <w:rsid w:val="007454C1"/>
    <w:rsid w:val="007539AE"/>
    <w:rsid w:val="00791A9C"/>
    <w:rsid w:val="00792A6D"/>
    <w:rsid w:val="007A0E09"/>
    <w:rsid w:val="007A7242"/>
    <w:rsid w:val="007D7708"/>
    <w:rsid w:val="007E297A"/>
    <w:rsid w:val="00817AA2"/>
    <w:rsid w:val="00817D6C"/>
    <w:rsid w:val="00827AC0"/>
    <w:rsid w:val="0086076D"/>
    <w:rsid w:val="0086641E"/>
    <w:rsid w:val="008A4523"/>
    <w:rsid w:val="008B26ED"/>
    <w:rsid w:val="008B77B9"/>
    <w:rsid w:val="008F44CD"/>
    <w:rsid w:val="00900514"/>
    <w:rsid w:val="00910789"/>
    <w:rsid w:val="00922498"/>
    <w:rsid w:val="00950178"/>
    <w:rsid w:val="009A24EC"/>
    <w:rsid w:val="009A3667"/>
    <w:rsid w:val="009B0EA4"/>
    <w:rsid w:val="009C3786"/>
    <w:rsid w:val="00A05D60"/>
    <w:rsid w:val="00A12AB1"/>
    <w:rsid w:val="00A20FF9"/>
    <w:rsid w:val="00A24526"/>
    <w:rsid w:val="00A27D7C"/>
    <w:rsid w:val="00A527A5"/>
    <w:rsid w:val="00A736D2"/>
    <w:rsid w:val="00A741BA"/>
    <w:rsid w:val="00AB76C4"/>
    <w:rsid w:val="00AC598B"/>
    <w:rsid w:val="00AD7D4D"/>
    <w:rsid w:val="00B408D4"/>
    <w:rsid w:val="00B42D74"/>
    <w:rsid w:val="00B80749"/>
    <w:rsid w:val="00B9126C"/>
    <w:rsid w:val="00BA0AE3"/>
    <w:rsid w:val="00BC6952"/>
    <w:rsid w:val="00C00A04"/>
    <w:rsid w:val="00C07656"/>
    <w:rsid w:val="00C1596B"/>
    <w:rsid w:val="00C47217"/>
    <w:rsid w:val="00C54FCA"/>
    <w:rsid w:val="00C55FF6"/>
    <w:rsid w:val="00C5790F"/>
    <w:rsid w:val="00C64FBD"/>
    <w:rsid w:val="00C84635"/>
    <w:rsid w:val="00CB0EE8"/>
    <w:rsid w:val="00CD29FE"/>
    <w:rsid w:val="00CE6FBA"/>
    <w:rsid w:val="00CF0D8A"/>
    <w:rsid w:val="00CF1130"/>
    <w:rsid w:val="00CF1BBD"/>
    <w:rsid w:val="00D32520"/>
    <w:rsid w:val="00D366B5"/>
    <w:rsid w:val="00D56FDE"/>
    <w:rsid w:val="00D6589B"/>
    <w:rsid w:val="00D75134"/>
    <w:rsid w:val="00DB6FE7"/>
    <w:rsid w:val="00DC48D8"/>
    <w:rsid w:val="00DE61EC"/>
    <w:rsid w:val="00DE6B87"/>
    <w:rsid w:val="00DF170E"/>
    <w:rsid w:val="00E4157F"/>
    <w:rsid w:val="00E47161"/>
    <w:rsid w:val="00E60670"/>
    <w:rsid w:val="00E73AAC"/>
    <w:rsid w:val="00E94A57"/>
    <w:rsid w:val="00EE0A2A"/>
    <w:rsid w:val="00F00AD1"/>
    <w:rsid w:val="00F04296"/>
    <w:rsid w:val="00F06CB5"/>
    <w:rsid w:val="00F10DF9"/>
    <w:rsid w:val="00F26A43"/>
    <w:rsid w:val="00F329FC"/>
    <w:rsid w:val="00F36F13"/>
    <w:rsid w:val="00F51600"/>
    <w:rsid w:val="00F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B04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27D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7D7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7D7C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7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7D7C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C54FCA"/>
    <w:pPr>
      <w:ind w:left="720"/>
      <w:contextualSpacing/>
    </w:pPr>
  </w:style>
  <w:style w:type="character" w:styleId="Hyperlink">
    <w:name w:val="Hyperlink"/>
    <w:basedOn w:val="DefaultParagraphFont"/>
    <w:unhideWhenUsed/>
    <w:rsid w:val="00002B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61223"/>
    <w:rPr>
      <w:color w:val="800080" w:themeColor="followedHyperlink"/>
      <w:u w:val="single"/>
    </w:rPr>
  </w:style>
  <w:style w:type="paragraph" w:customStyle="1" w:styleId="CLLOparanumbers">
    <w:name w:val="CLLO para numbers"/>
    <w:basedOn w:val="ListNumber"/>
    <w:link w:val="CLLOparanumbersChar"/>
    <w:rsid w:val="0015757C"/>
    <w:pPr>
      <w:numPr>
        <w:numId w:val="0"/>
      </w:numPr>
      <w:spacing w:before="60" w:after="60"/>
      <w:contextualSpacing w:val="0"/>
      <w:jc w:val="both"/>
    </w:pPr>
    <w:rPr>
      <w:rFonts w:ascii="Arial" w:eastAsia="Times New Roman" w:hAnsi="Arial"/>
      <w:color w:val="auto"/>
      <w:sz w:val="20"/>
      <w:lang w:eastAsia="en-US"/>
    </w:rPr>
  </w:style>
  <w:style w:type="character" w:customStyle="1" w:styleId="CLLOparanumbersChar">
    <w:name w:val="CLLO para numbers Char"/>
    <w:basedOn w:val="DefaultParagraphFont"/>
    <w:link w:val="CLLOparanumbers"/>
    <w:rsid w:val="0015757C"/>
    <w:rPr>
      <w:rFonts w:ascii="Arial" w:eastAsia="Times New Roman" w:hAnsi="Arial"/>
      <w:lang w:eastAsia="en-US"/>
    </w:rPr>
  </w:style>
  <w:style w:type="numbering" w:customStyle="1" w:styleId="CabinetBriefingNote">
    <w:name w:val="Cabinet Briefing Note"/>
    <w:rsid w:val="0015757C"/>
    <w:pPr>
      <w:numPr>
        <w:numId w:val="9"/>
      </w:numPr>
    </w:pPr>
  </w:style>
  <w:style w:type="paragraph" w:styleId="ListNumber">
    <w:name w:val="List Number"/>
    <w:basedOn w:val="Normal"/>
    <w:rsid w:val="0015757C"/>
    <w:pPr>
      <w:numPr>
        <w:numId w:val="9"/>
      </w:numPr>
      <w:contextualSpacing/>
    </w:pPr>
  </w:style>
  <w:style w:type="paragraph" w:customStyle="1" w:styleId="AnswerLvl1bullet-QA">
    <w:name w:val="Answer Lvl 1 bullet - Q&amp;A"/>
    <w:basedOn w:val="PlainText"/>
    <w:link w:val="AnswerLvl1bullet-QAChar"/>
    <w:qFormat/>
    <w:rsid w:val="00922498"/>
    <w:pPr>
      <w:numPr>
        <w:numId w:val="12"/>
      </w:numPr>
      <w:spacing w:after="240"/>
    </w:pPr>
    <w:rPr>
      <w:rFonts w:ascii="Arial" w:eastAsia="Times New Roman" w:hAnsi="Arial" w:cs="Arial"/>
    </w:rPr>
  </w:style>
  <w:style w:type="character" w:customStyle="1" w:styleId="AnswerLvl1bullet-QAChar">
    <w:name w:val="Answer Lvl 1 bullet - Q&amp;A Char"/>
    <w:basedOn w:val="PlainTextChar"/>
    <w:link w:val="AnswerLvl1bullet-QA"/>
    <w:rsid w:val="00922498"/>
    <w:rPr>
      <w:rFonts w:ascii="Arial" w:eastAsia="Times New Roman" w:hAnsi="Arial" w:cs="Arial"/>
      <w:color w:val="000000"/>
      <w:sz w:val="21"/>
      <w:szCs w:val="21"/>
    </w:rPr>
  </w:style>
  <w:style w:type="paragraph" w:customStyle="1" w:styleId="AnswerLvl2bullet-QA">
    <w:name w:val="Answer Lvl 2 bullet - Q&amp;A"/>
    <w:basedOn w:val="Normal"/>
    <w:autoRedefine/>
    <w:qFormat/>
    <w:rsid w:val="00922498"/>
    <w:pPr>
      <w:numPr>
        <w:ilvl w:val="1"/>
        <w:numId w:val="12"/>
      </w:numPr>
      <w:spacing w:after="60"/>
    </w:pPr>
    <w:rPr>
      <w:rFonts w:ascii="Arial" w:eastAsiaTheme="minorHAnsi" w:hAnsi="Arial" w:cs="Arial"/>
      <w:color w:val="auto"/>
      <w:sz w:val="2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92249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22498"/>
    <w:rPr>
      <w:rFonts w:ascii="Consolas" w:hAnsi="Consolas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E79F-7CA7-42E6-88FB-9204389A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427</Words>
  <Characters>2479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2902</CharactersWithSpaces>
  <SharedDoc>false</SharedDoc>
  <HyperlinkBase>https://www.cabinet.qld.gov.au/documents/2017/Oct/LEOLABill/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cp:lastPrinted>2018-05-01T05:01:00Z</cp:lastPrinted>
  <dcterms:created xsi:type="dcterms:W3CDTF">2018-05-01T05:00:00Z</dcterms:created>
  <dcterms:modified xsi:type="dcterms:W3CDTF">2018-06-24T23:55:00Z</dcterms:modified>
  <cp:category>Legislation,Land,Safety,Mining,Gas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